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00000" w:rsidRDefault="00B758FF">
      <w:pPr>
        <w:jc w:val="center"/>
      </w:pPr>
      <w:bookmarkStart w:id="0" w:name="_GoBack"/>
      <w:bookmarkEnd w:id="0"/>
      <w:r>
        <w:rPr>
          <w:rFonts w:ascii="標楷體" w:eastAsia="標楷體" w:hAnsi="標楷體"/>
          <w:sz w:val="30"/>
          <w:szCs w:val="30"/>
        </w:rPr>
        <w:pict>
          <v:shapetype id="_x0000_t202" coordsize="21600,21600" o:spt="202" path="m,l,21600r21600,l21600,xe">
            <v:stroke joinstyle="miter"/>
            <v:path gradientshapeok="t" o:connecttype="rect"/>
          </v:shapetype>
          <v:shape id="_x0000_s1026" type="#_x0000_t202" style="position:absolute;left:0;text-align:left;margin-left:-15.9pt;margin-top:-28.2pt;width:99.95pt;height:29.05pt;z-index:1;mso-wrap-distance-left:9pt;mso-wrap-distance-top:0;mso-wrap-distance-right:9pt;mso-wrap-distance-bottom:0;mso-position-horizontal:absolute;mso-position-horizontal-relative:text;mso-position-vertical:absolute;mso-position-vertical-relative:text" strokeweight=".05pt">
            <v:fill color2="black"/>
            <v:textbox inset="0,0,0,0">
              <w:txbxContent>
                <w:p w:rsidR="00000000" w:rsidRDefault="00B758FF">
                  <w:pPr>
                    <w:pStyle w:val="ad"/>
                    <w:spacing w:line="0" w:lineRule="atLeast"/>
                  </w:pPr>
                  <w:r>
                    <w:rPr>
                      <w:rFonts w:ascii="標楷體" w:eastAsia="標楷體" w:hAnsi="標楷體"/>
                      <w:sz w:val="20"/>
                    </w:rPr>
                    <w:t>局表</w:t>
                  </w:r>
                  <w:r>
                    <w:rPr>
                      <w:rFonts w:ascii="標楷體" w:eastAsia="標楷體" w:hAnsi="標楷體"/>
                      <w:sz w:val="20"/>
                    </w:rPr>
                    <w:t>11090A</w:t>
                  </w:r>
                </w:p>
                <w:p w:rsidR="00000000" w:rsidRDefault="00B758FF">
                  <w:pPr>
                    <w:pStyle w:val="ad"/>
                    <w:spacing w:line="0" w:lineRule="atLeast"/>
                  </w:pPr>
                  <w:r>
                    <w:rPr>
                      <w:rFonts w:ascii="標楷體" w:eastAsia="標楷體" w:hAnsi="標楷體"/>
                      <w:sz w:val="20"/>
                    </w:rPr>
                    <w:t>版本</w:t>
                  </w:r>
                  <w:r>
                    <w:rPr>
                      <w:rFonts w:ascii="標楷體" w:eastAsia="標楷體" w:hAnsi="標楷體"/>
                      <w:sz w:val="20"/>
                    </w:rPr>
                    <w:t>:1</w:t>
                  </w:r>
                  <w:r>
                    <w:rPr>
                      <w:rFonts w:ascii="標楷體" w:eastAsia="標楷體" w:hAnsi="標楷體"/>
                      <w:sz w:val="20"/>
                    </w:rPr>
                    <w:t>（</w:t>
                  </w:r>
                  <w:r>
                    <w:rPr>
                      <w:rFonts w:ascii="標楷體" w:eastAsia="標楷體" w:hAnsi="標楷體"/>
                      <w:sz w:val="20"/>
                    </w:rPr>
                    <w:t>105.11</w:t>
                  </w:r>
                  <w:r>
                    <w:rPr>
                      <w:rFonts w:ascii="標楷體" w:eastAsia="標楷體" w:hAnsi="標楷體"/>
                      <w:sz w:val="20"/>
                    </w:rPr>
                    <w:t>）</w:t>
                  </w:r>
                </w:p>
                <w:p w:rsidR="00000000" w:rsidRDefault="00B758FF">
                  <w:pPr>
                    <w:pStyle w:val="ad"/>
                    <w:spacing w:line="0" w:lineRule="atLeast"/>
                  </w:pPr>
                </w:p>
              </w:txbxContent>
            </v:textbox>
          </v:shape>
        </w:pict>
      </w:r>
      <w:r>
        <w:rPr>
          <w:rFonts w:ascii="標楷體" w:eastAsia="標楷體" w:hAnsi="標楷體"/>
          <w:sz w:val="30"/>
          <w:szCs w:val="30"/>
        </w:rPr>
        <w:t>推動參加職業安全衛生優良公共工程選拔作業檢核表</w:t>
      </w:r>
      <w:r>
        <w:rPr>
          <w:rFonts w:ascii="標楷體" w:eastAsia="標楷體" w:hAnsi="標楷體"/>
          <w:sz w:val="30"/>
          <w:szCs w:val="30"/>
        </w:rPr>
        <w:t>(1/2)</w:t>
      </w:r>
    </w:p>
    <w:tbl>
      <w:tblPr>
        <w:tblW w:w="0" w:type="auto"/>
        <w:tblLayout w:type="fixed"/>
        <w:tblCellMar>
          <w:top w:w="85" w:type="dxa"/>
          <w:left w:w="62" w:type="dxa"/>
          <w:bottom w:w="85" w:type="dxa"/>
          <w:right w:w="57" w:type="dxa"/>
        </w:tblCellMar>
        <w:tblLook w:val="0000" w:firstRow="0" w:lastRow="0" w:firstColumn="0" w:lastColumn="0" w:noHBand="0" w:noVBand="0"/>
      </w:tblPr>
      <w:tblGrid>
        <w:gridCol w:w="703"/>
        <w:gridCol w:w="4962"/>
        <w:gridCol w:w="780"/>
        <w:gridCol w:w="781"/>
        <w:gridCol w:w="2120"/>
      </w:tblGrid>
      <w:tr w:rsidR="00000000">
        <w:tc>
          <w:tcPr>
            <w:tcW w:w="5665" w:type="dxa"/>
            <w:gridSpan w:val="2"/>
            <w:tcBorders>
              <w:top w:val="single" w:sz="4" w:space="0" w:color="00000A"/>
              <w:left w:val="single" w:sz="4" w:space="0" w:color="00000A"/>
              <w:bottom w:val="single" w:sz="4" w:space="0" w:color="00000A"/>
              <w:right w:val="single" w:sz="4" w:space="0" w:color="00000A"/>
            </w:tcBorders>
            <w:shd w:val="clear" w:color="auto" w:fill="auto"/>
          </w:tcPr>
          <w:p w:rsidR="00000000" w:rsidRDefault="00B758FF">
            <w:pPr>
              <w:jc w:val="center"/>
            </w:pPr>
            <w:r>
              <w:rPr>
                <w:rFonts w:ascii="標楷體" w:eastAsia="標楷體" w:hAnsi="標楷體"/>
                <w:sz w:val="28"/>
                <w:szCs w:val="28"/>
              </w:rPr>
              <w:t>確認項目</w:t>
            </w:r>
          </w:p>
        </w:tc>
        <w:tc>
          <w:tcPr>
            <w:tcW w:w="780" w:type="dxa"/>
            <w:tcBorders>
              <w:top w:val="single" w:sz="4" w:space="0" w:color="00000A"/>
              <w:left w:val="single" w:sz="4" w:space="0" w:color="00000A"/>
              <w:bottom w:val="single" w:sz="4" w:space="0" w:color="00000A"/>
              <w:right w:val="single" w:sz="4" w:space="0" w:color="00000A"/>
            </w:tcBorders>
            <w:shd w:val="clear" w:color="auto" w:fill="auto"/>
          </w:tcPr>
          <w:p w:rsidR="00000000" w:rsidRDefault="00B758FF">
            <w:pPr>
              <w:jc w:val="center"/>
            </w:pPr>
            <w:r>
              <w:rPr>
                <w:rFonts w:ascii="標楷體" w:eastAsia="標楷體" w:hAnsi="標楷體"/>
                <w:sz w:val="28"/>
                <w:szCs w:val="28"/>
              </w:rPr>
              <w:t>是</w:t>
            </w:r>
          </w:p>
        </w:tc>
        <w:tc>
          <w:tcPr>
            <w:tcW w:w="781" w:type="dxa"/>
            <w:tcBorders>
              <w:top w:val="single" w:sz="4" w:space="0" w:color="00000A"/>
              <w:left w:val="single" w:sz="4" w:space="0" w:color="00000A"/>
              <w:bottom w:val="single" w:sz="4" w:space="0" w:color="00000A"/>
              <w:right w:val="single" w:sz="4" w:space="0" w:color="00000A"/>
            </w:tcBorders>
            <w:shd w:val="clear" w:color="auto" w:fill="auto"/>
          </w:tcPr>
          <w:p w:rsidR="00000000" w:rsidRDefault="00B758FF">
            <w:pPr>
              <w:jc w:val="center"/>
            </w:pPr>
            <w:r>
              <w:rPr>
                <w:rFonts w:ascii="標楷體" w:eastAsia="標楷體" w:hAnsi="標楷體"/>
                <w:sz w:val="28"/>
                <w:szCs w:val="28"/>
              </w:rPr>
              <w:t>否</w:t>
            </w:r>
          </w:p>
        </w:tc>
        <w:tc>
          <w:tcPr>
            <w:tcW w:w="2120" w:type="dxa"/>
            <w:tcBorders>
              <w:top w:val="single" w:sz="4" w:space="0" w:color="00000A"/>
              <w:left w:val="single" w:sz="4" w:space="0" w:color="00000A"/>
              <w:bottom w:val="single" w:sz="4" w:space="0" w:color="00000A"/>
              <w:right w:val="single" w:sz="4" w:space="0" w:color="00000A"/>
            </w:tcBorders>
            <w:shd w:val="clear" w:color="auto" w:fill="auto"/>
          </w:tcPr>
          <w:p w:rsidR="00000000" w:rsidRDefault="00B758FF">
            <w:pPr>
              <w:jc w:val="center"/>
            </w:pPr>
            <w:r>
              <w:rPr>
                <w:rFonts w:ascii="標楷體" w:eastAsia="標楷體" w:hAnsi="標楷體"/>
                <w:sz w:val="28"/>
                <w:szCs w:val="28"/>
              </w:rPr>
              <w:t>備註或補充說明</w:t>
            </w:r>
          </w:p>
        </w:tc>
      </w:tr>
      <w:tr w:rsidR="00000000">
        <w:trPr>
          <w:trHeight w:val="648"/>
        </w:trPr>
        <w:tc>
          <w:tcPr>
            <w:tcW w:w="703"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400" w:lineRule="exact"/>
            </w:pPr>
            <w:r>
              <w:rPr>
                <w:rFonts w:ascii="標楷體" w:eastAsia="標楷體" w:hAnsi="標楷體"/>
                <w:sz w:val="30"/>
                <w:szCs w:val="30"/>
              </w:rPr>
              <w:t>設計階段</w:t>
            </w:r>
          </w:p>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szCs w:val="24"/>
              </w:rPr>
              <w:t>設計單位應確實辦理施工風險評估並邀集本局主辦單位及執行工程處參加風險評估小組會議</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rPr>
          <w:trHeight w:val="140"/>
        </w:trPr>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szCs w:val="24"/>
              </w:rPr>
              <w:t>提出「工程施工風險評估報告」</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rPr>
          <w:trHeight w:val="824"/>
        </w:trPr>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szCs w:val="24"/>
              </w:rPr>
              <w:t>針對工程費用應合理評估納入預算，如計價項目周全</w:t>
            </w:r>
            <w:r>
              <w:rPr>
                <w:rFonts w:ascii="標楷體" w:eastAsia="標楷體" w:hAnsi="標楷體"/>
                <w:szCs w:val="24"/>
              </w:rPr>
              <w:t xml:space="preserve"> </w:t>
            </w:r>
            <w:r>
              <w:rPr>
                <w:rFonts w:ascii="標楷體" w:eastAsia="標楷體" w:hAnsi="標楷體"/>
                <w:szCs w:val="24"/>
              </w:rPr>
              <w:t>(</w:t>
            </w:r>
            <w:r>
              <w:rPr>
                <w:rFonts w:ascii="標楷體" w:eastAsia="標楷體" w:hAnsi="標楷體"/>
                <w:szCs w:val="24"/>
              </w:rPr>
              <w:t>設施、裝備、人力、材料、機具</w:t>
            </w:r>
            <w:r>
              <w:rPr>
                <w:rFonts w:ascii="標楷體" w:eastAsia="標楷體" w:hAnsi="標楷體"/>
                <w:szCs w:val="24"/>
              </w:rPr>
              <w:t>)</w:t>
            </w:r>
            <w:r>
              <w:rPr>
                <w:rFonts w:ascii="標楷體" w:eastAsia="標楷體" w:hAnsi="標楷體"/>
                <w:szCs w:val="24"/>
              </w:rPr>
              <w:t>、單位明確且數量可數</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c>
          <w:tcPr>
            <w:tcW w:w="703"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400" w:lineRule="exact"/>
              <w:jc w:val="center"/>
            </w:pPr>
            <w:r>
              <w:rPr>
                <w:rFonts w:ascii="標楷體" w:eastAsia="標楷體" w:hAnsi="標楷體"/>
                <w:sz w:val="30"/>
                <w:szCs w:val="30"/>
              </w:rPr>
              <w:t>施工期間</w:t>
            </w:r>
          </w:p>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szCs w:val="24"/>
              </w:rPr>
              <w:t>施工團隊應依照局</w:t>
            </w:r>
            <w:r>
              <w:rPr>
                <w:rFonts w:ascii="標楷體" w:eastAsia="標楷體" w:hAnsi="標楷體"/>
                <w:szCs w:val="24"/>
              </w:rPr>
              <w:t>11010</w:t>
            </w:r>
            <w:r>
              <w:rPr>
                <w:rFonts w:ascii="標楷體" w:eastAsia="標楷體" w:hAnsi="標楷體"/>
                <w:szCs w:val="24"/>
              </w:rPr>
              <w:t>、局</w:t>
            </w:r>
            <w:r>
              <w:rPr>
                <w:rFonts w:ascii="標楷體" w:eastAsia="標楷體" w:hAnsi="標楷體"/>
                <w:szCs w:val="24"/>
              </w:rPr>
              <w:t>11020</w:t>
            </w:r>
            <w:r>
              <w:rPr>
                <w:rFonts w:ascii="標楷體" w:eastAsia="標楷體" w:hAnsi="標楷體"/>
                <w:szCs w:val="24"/>
              </w:rPr>
              <w:t>、局</w:t>
            </w:r>
            <w:r>
              <w:rPr>
                <w:rFonts w:ascii="標楷體" w:eastAsia="標楷體" w:hAnsi="標楷體"/>
                <w:szCs w:val="24"/>
              </w:rPr>
              <w:t>11030</w:t>
            </w:r>
            <w:r>
              <w:rPr>
                <w:rFonts w:ascii="標楷體" w:eastAsia="標楷體" w:hAnsi="標楷體"/>
                <w:szCs w:val="24"/>
              </w:rPr>
              <w:t>等作業程序及「</w:t>
            </w:r>
            <w:r>
              <w:rPr>
                <w:rFonts w:ascii="標楷體" w:eastAsia="標楷體" w:hAnsi="標楷體"/>
                <w:szCs w:val="24"/>
              </w:rPr>
              <w:t>TANFB-17</w:t>
            </w:r>
            <w:r>
              <w:rPr>
                <w:rFonts w:ascii="標楷體" w:eastAsia="標楷體" w:hAnsi="標楷體"/>
                <w:szCs w:val="24"/>
              </w:rPr>
              <w:t>安全衛生管理紀錄及績效評估措施規章」相關規定確實辦理，留下各項職業安全</w:t>
            </w:r>
            <w:r>
              <w:rPr>
                <w:rFonts w:ascii="標楷體" w:eastAsia="標楷體" w:hAnsi="標楷體"/>
                <w:szCs w:val="24"/>
              </w:rPr>
              <w:t>衛生表單紀錄並建檔備查。</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rPr>
              <w:t>承包商、監造單位及督工單位應依據設計單位所提「工程施工風險評估報告」，於開工後分別提出「施工安全風險控制對策執行計畫」、「施工安全風險控制對策檢查計畫」、「施工安全風險控制對策督導計畫」</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rPr>
              <w:t>監造單位定期召集承包商、督工單位檢討風險項目及執行成效，以採取適當因應對策或修正前揭計畫。</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rPr>
              <w:t>屬丁類危險性工作場所之工程，承包商應依規定於施工前提出丁類危險性工作場所申請，經勞動部職業安全衛生署審查同意後施工</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rPr>
              <w:t>屬丁類危險性工作場所之工程，承包商召集相關專業協力</w:t>
            </w:r>
            <w:r>
              <w:rPr>
                <w:rFonts w:ascii="標楷體" w:eastAsia="標楷體" w:hAnsi="標楷體"/>
              </w:rPr>
              <w:t>廠商成立「工地施工安全評估小組」</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szCs w:val="24"/>
              </w:rPr>
              <w:t>主辦機關、監造單位及承包商均建立內部施工安全監督機制，內部稽核依施工團隊各自建立之內稽制度辦理</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rPr>
              <w:t>主辦機關已建立外部施工安全監督機制，外部稽核部分得包含主辦機關與當地勞動檢查機構締結「安全伙伴」關係，並辦理聯合稽查提升工安執行成效</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tcPr>
          <w:p w:rsidR="00000000" w:rsidRDefault="00B758FF">
            <w:pPr>
              <w:spacing w:line="280" w:lineRule="exact"/>
              <w:jc w:val="both"/>
            </w:pPr>
            <w:r>
              <w:rPr>
                <w:rFonts w:ascii="標楷體" w:eastAsia="標楷體" w:hAnsi="標楷體"/>
                <w:szCs w:val="24"/>
              </w:rPr>
              <w:t>其他優良機制：</w:t>
            </w:r>
          </w:p>
        </w:tc>
      </w:tr>
      <w:tr w:rsidR="00000000">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szCs w:val="24"/>
              </w:rPr>
              <w:t>監造單位與承包商</w:t>
            </w:r>
            <w:r>
              <w:rPr>
                <w:rFonts w:ascii="標楷體" w:eastAsia="標楷體" w:hAnsi="標楷體"/>
              </w:rPr>
              <w:t>已建立外部施工安全監督機制，如</w:t>
            </w:r>
            <w:r>
              <w:rPr>
                <w:rFonts w:ascii="標楷體" w:eastAsia="標楷體" w:hAnsi="標楷體"/>
                <w:szCs w:val="24"/>
              </w:rPr>
              <w:t>結合鄰近相關工程辦理工安聯合檢查</w:t>
            </w:r>
            <w:r>
              <w:rPr>
                <w:rFonts w:ascii="標楷體" w:eastAsia="標楷體" w:hAnsi="標楷體"/>
                <w:szCs w:val="24"/>
              </w:rPr>
              <w:t>(</w:t>
            </w:r>
            <w:r>
              <w:rPr>
                <w:rFonts w:ascii="標楷體" w:eastAsia="標楷體" w:hAnsi="標楷體"/>
                <w:szCs w:val="24"/>
              </w:rPr>
              <w:t>區域聯防</w:t>
            </w:r>
            <w:r>
              <w:rPr>
                <w:rFonts w:ascii="標楷體" w:eastAsia="標楷體" w:hAnsi="標楷體"/>
                <w:szCs w:val="24"/>
              </w:rPr>
              <w:t>)…</w:t>
            </w:r>
            <w:r>
              <w:rPr>
                <w:rFonts w:ascii="標楷體" w:eastAsia="標楷體" w:hAnsi="標楷體"/>
                <w:szCs w:val="24"/>
              </w:rPr>
              <w:t>等，原則均採每季辦理</w:t>
            </w:r>
            <w:r>
              <w:rPr>
                <w:rFonts w:ascii="標楷體" w:eastAsia="標楷體" w:hAnsi="標楷體"/>
                <w:szCs w:val="24"/>
              </w:rPr>
              <w:t>1</w:t>
            </w:r>
            <w:r>
              <w:rPr>
                <w:rFonts w:ascii="標楷體" w:eastAsia="標楷體" w:hAnsi="標楷體"/>
                <w:szCs w:val="24"/>
              </w:rPr>
              <w:t>次。</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tcPr>
          <w:p w:rsidR="00000000" w:rsidRDefault="00B758FF">
            <w:pPr>
              <w:spacing w:line="280" w:lineRule="exact"/>
              <w:jc w:val="both"/>
            </w:pPr>
            <w:r>
              <w:rPr>
                <w:rFonts w:ascii="標楷體" w:eastAsia="標楷體" w:hAnsi="標楷體"/>
                <w:szCs w:val="24"/>
              </w:rPr>
              <w:t>其他優良機制：</w:t>
            </w:r>
          </w:p>
        </w:tc>
      </w:tr>
      <w:tr w:rsidR="00000000">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szCs w:val="24"/>
              </w:rPr>
              <w:t>工程處主動邀請最高管理階層不定期至工地督導職業安全衛生辦理情</w:t>
            </w:r>
            <w:r>
              <w:rPr>
                <w:rFonts w:ascii="標楷體" w:eastAsia="標楷體" w:hAnsi="標楷體"/>
                <w:szCs w:val="24"/>
              </w:rPr>
              <w:t>形，並留下督導情形與會議紀錄</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bl>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rPr>
          <w:rFonts w:ascii="標楷體" w:eastAsia="標楷體" w:hAnsi="標楷體"/>
          <w:sz w:val="30"/>
          <w:szCs w:val="30"/>
        </w:rPr>
      </w:pPr>
    </w:p>
    <w:p w:rsidR="00000000" w:rsidRDefault="00B758FF">
      <w:pPr>
        <w:jc w:val="center"/>
      </w:pPr>
      <w:r>
        <w:rPr>
          <w:rFonts w:ascii="標楷體" w:eastAsia="標楷體" w:hAnsi="標楷體"/>
          <w:sz w:val="30"/>
          <w:szCs w:val="30"/>
        </w:rPr>
        <w:pict>
          <v:shape id="_x0000_s1027" type="#_x0000_t202" style="position:absolute;left:0;text-align:left;margin-left:-3.9pt;margin-top:-16.2pt;width:99.95pt;height:29.05pt;z-index:2;mso-wrap-distance-left:9pt;mso-wrap-distance-top:0;mso-wrap-distance-right:9pt;mso-wrap-distance-bottom:0;mso-position-horizontal:absolute;mso-position-horizontal-relative:text;mso-position-vertical:absolute;mso-position-vertical-relative:text" strokeweight=".05pt">
            <v:fill color2="black"/>
            <v:textbox inset="0,0,0,0">
              <w:txbxContent>
                <w:p w:rsidR="00000000" w:rsidRDefault="00B758FF">
                  <w:pPr>
                    <w:pStyle w:val="ad"/>
                    <w:spacing w:line="0" w:lineRule="atLeast"/>
                  </w:pPr>
                  <w:r>
                    <w:rPr>
                      <w:rFonts w:ascii="標楷體" w:eastAsia="標楷體" w:hAnsi="標楷體"/>
                      <w:sz w:val="20"/>
                    </w:rPr>
                    <w:t>局表</w:t>
                  </w:r>
                  <w:r>
                    <w:rPr>
                      <w:rFonts w:ascii="標楷體" w:eastAsia="標楷體" w:hAnsi="標楷體"/>
                      <w:sz w:val="20"/>
                    </w:rPr>
                    <w:t>11090A</w:t>
                  </w:r>
                </w:p>
                <w:p w:rsidR="00000000" w:rsidRDefault="00B758FF">
                  <w:pPr>
                    <w:pStyle w:val="ad"/>
                    <w:spacing w:line="0" w:lineRule="atLeast"/>
                  </w:pPr>
                  <w:r>
                    <w:rPr>
                      <w:rFonts w:ascii="標楷體" w:eastAsia="標楷體" w:hAnsi="標楷體"/>
                      <w:sz w:val="20"/>
                    </w:rPr>
                    <w:t>版本</w:t>
                  </w:r>
                  <w:r>
                    <w:rPr>
                      <w:rFonts w:ascii="標楷體" w:eastAsia="標楷體" w:hAnsi="標楷體"/>
                      <w:sz w:val="20"/>
                    </w:rPr>
                    <w:t>:1</w:t>
                  </w:r>
                  <w:r>
                    <w:rPr>
                      <w:rFonts w:ascii="標楷體" w:eastAsia="標楷體" w:hAnsi="標楷體"/>
                      <w:sz w:val="20"/>
                    </w:rPr>
                    <w:t>（</w:t>
                  </w:r>
                  <w:r>
                    <w:rPr>
                      <w:rFonts w:ascii="標楷體" w:eastAsia="標楷體" w:hAnsi="標楷體"/>
                      <w:sz w:val="20"/>
                    </w:rPr>
                    <w:t>105.11</w:t>
                  </w:r>
                  <w:r>
                    <w:rPr>
                      <w:rFonts w:ascii="標楷體" w:eastAsia="標楷體" w:hAnsi="標楷體"/>
                      <w:sz w:val="20"/>
                    </w:rPr>
                    <w:t>）</w:t>
                  </w:r>
                </w:p>
                <w:p w:rsidR="00000000" w:rsidRDefault="00B758FF">
                  <w:pPr>
                    <w:pStyle w:val="ad"/>
                    <w:spacing w:line="0" w:lineRule="atLeast"/>
                  </w:pPr>
                </w:p>
              </w:txbxContent>
            </v:textbox>
          </v:shape>
        </w:pict>
      </w:r>
      <w:r>
        <w:rPr>
          <w:rFonts w:ascii="標楷體" w:eastAsia="標楷體" w:hAnsi="標楷體"/>
          <w:sz w:val="30"/>
          <w:szCs w:val="30"/>
        </w:rPr>
        <w:t>推動參加職業安全衛生優良公共工程選拔作業檢核表</w:t>
      </w:r>
      <w:r>
        <w:rPr>
          <w:rFonts w:ascii="標楷體" w:eastAsia="標楷體" w:hAnsi="標楷體"/>
          <w:sz w:val="30"/>
          <w:szCs w:val="30"/>
        </w:rPr>
        <w:t>(2/2)</w:t>
      </w:r>
    </w:p>
    <w:tbl>
      <w:tblPr>
        <w:tblW w:w="0" w:type="auto"/>
        <w:tblLayout w:type="fixed"/>
        <w:tblCellMar>
          <w:top w:w="85" w:type="dxa"/>
          <w:left w:w="62" w:type="dxa"/>
          <w:bottom w:w="85" w:type="dxa"/>
          <w:right w:w="57" w:type="dxa"/>
        </w:tblCellMar>
        <w:tblLook w:val="0000" w:firstRow="0" w:lastRow="0" w:firstColumn="0" w:lastColumn="0" w:noHBand="0" w:noVBand="0"/>
      </w:tblPr>
      <w:tblGrid>
        <w:gridCol w:w="703"/>
        <w:gridCol w:w="4962"/>
        <w:gridCol w:w="780"/>
        <w:gridCol w:w="781"/>
        <w:gridCol w:w="2120"/>
      </w:tblGrid>
      <w:tr w:rsidR="00000000">
        <w:tc>
          <w:tcPr>
            <w:tcW w:w="5665" w:type="dxa"/>
            <w:gridSpan w:val="2"/>
            <w:tcBorders>
              <w:top w:val="single" w:sz="4" w:space="0" w:color="00000A"/>
              <w:left w:val="single" w:sz="4" w:space="0" w:color="00000A"/>
              <w:bottom w:val="single" w:sz="4" w:space="0" w:color="00000A"/>
              <w:right w:val="single" w:sz="4" w:space="0" w:color="00000A"/>
            </w:tcBorders>
            <w:shd w:val="clear" w:color="auto" w:fill="auto"/>
          </w:tcPr>
          <w:p w:rsidR="00000000" w:rsidRDefault="00B758FF">
            <w:pPr>
              <w:jc w:val="center"/>
            </w:pPr>
            <w:r>
              <w:rPr>
                <w:rFonts w:ascii="標楷體" w:eastAsia="標楷體" w:hAnsi="標楷體"/>
                <w:sz w:val="28"/>
                <w:szCs w:val="28"/>
              </w:rPr>
              <w:t>確認項目</w:t>
            </w:r>
          </w:p>
        </w:tc>
        <w:tc>
          <w:tcPr>
            <w:tcW w:w="780" w:type="dxa"/>
            <w:tcBorders>
              <w:top w:val="single" w:sz="4" w:space="0" w:color="00000A"/>
              <w:left w:val="single" w:sz="4" w:space="0" w:color="00000A"/>
              <w:bottom w:val="single" w:sz="4" w:space="0" w:color="00000A"/>
              <w:right w:val="single" w:sz="4" w:space="0" w:color="00000A"/>
            </w:tcBorders>
            <w:shd w:val="clear" w:color="auto" w:fill="auto"/>
          </w:tcPr>
          <w:p w:rsidR="00000000" w:rsidRDefault="00B758FF">
            <w:pPr>
              <w:jc w:val="center"/>
            </w:pPr>
            <w:r>
              <w:rPr>
                <w:rFonts w:ascii="標楷體" w:eastAsia="標楷體" w:hAnsi="標楷體"/>
                <w:sz w:val="28"/>
                <w:szCs w:val="28"/>
              </w:rPr>
              <w:t>是</w:t>
            </w:r>
          </w:p>
        </w:tc>
        <w:tc>
          <w:tcPr>
            <w:tcW w:w="781" w:type="dxa"/>
            <w:tcBorders>
              <w:top w:val="single" w:sz="4" w:space="0" w:color="00000A"/>
              <w:left w:val="single" w:sz="4" w:space="0" w:color="00000A"/>
              <w:bottom w:val="single" w:sz="4" w:space="0" w:color="00000A"/>
              <w:right w:val="single" w:sz="4" w:space="0" w:color="00000A"/>
            </w:tcBorders>
            <w:shd w:val="clear" w:color="auto" w:fill="auto"/>
          </w:tcPr>
          <w:p w:rsidR="00000000" w:rsidRDefault="00B758FF">
            <w:pPr>
              <w:jc w:val="center"/>
            </w:pPr>
            <w:r>
              <w:rPr>
                <w:rFonts w:ascii="標楷體" w:eastAsia="標楷體" w:hAnsi="標楷體"/>
                <w:sz w:val="28"/>
                <w:szCs w:val="28"/>
              </w:rPr>
              <w:t>否</w:t>
            </w:r>
          </w:p>
        </w:tc>
        <w:tc>
          <w:tcPr>
            <w:tcW w:w="2120" w:type="dxa"/>
            <w:tcBorders>
              <w:top w:val="single" w:sz="4" w:space="0" w:color="00000A"/>
              <w:left w:val="single" w:sz="4" w:space="0" w:color="00000A"/>
              <w:bottom w:val="single" w:sz="4" w:space="0" w:color="00000A"/>
              <w:right w:val="single" w:sz="4" w:space="0" w:color="00000A"/>
            </w:tcBorders>
            <w:shd w:val="clear" w:color="auto" w:fill="auto"/>
          </w:tcPr>
          <w:p w:rsidR="00000000" w:rsidRDefault="00B758FF">
            <w:pPr>
              <w:jc w:val="center"/>
            </w:pPr>
            <w:r>
              <w:rPr>
                <w:rFonts w:ascii="標楷體" w:eastAsia="標楷體" w:hAnsi="標楷體"/>
                <w:sz w:val="28"/>
                <w:szCs w:val="28"/>
              </w:rPr>
              <w:t>備註或補充說明</w:t>
            </w:r>
          </w:p>
        </w:tc>
      </w:tr>
      <w:tr w:rsidR="00000000">
        <w:trPr>
          <w:trHeight w:val="648"/>
        </w:trPr>
        <w:tc>
          <w:tcPr>
            <w:tcW w:w="703"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400" w:lineRule="exact"/>
              <w:jc w:val="center"/>
            </w:pPr>
            <w:r>
              <w:rPr>
                <w:rFonts w:ascii="標楷體" w:eastAsia="標楷體" w:hAnsi="標楷體"/>
                <w:sz w:val="30"/>
                <w:szCs w:val="30"/>
              </w:rPr>
              <w:t>施工</w:t>
            </w:r>
            <w:r>
              <w:rPr>
                <w:rFonts w:ascii="標楷體" w:eastAsia="標楷體" w:hAnsi="標楷體"/>
                <w:sz w:val="30"/>
                <w:szCs w:val="30"/>
              </w:rPr>
              <w:lastRenderedPageBreak/>
              <w:t>期間</w:t>
            </w:r>
          </w:p>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szCs w:val="24"/>
              </w:rPr>
              <w:lastRenderedPageBreak/>
              <w:t>主辦機關要求承包商依勞動檢查法第二十八條所定勞工有立即發生危險之虞認定標準，製作有立即發生危險項目之自動檢查紀錄表。</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rPr>
          <w:trHeight w:val="140"/>
        </w:trPr>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szCs w:val="24"/>
              </w:rPr>
              <w:t>施工團隊自開工後，依工程特性定期舉辦各種安全衛生教育訓練及災防演練外，並不定期邀請專家學者辦理安全講習及現場指導。</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rPr>
          <w:trHeight w:val="494"/>
        </w:trPr>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szCs w:val="24"/>
              </w:rPr>
              <w:t>施工團隊全面運用「工安聯絡即時通訊群組加強施工管制與聯繫」之極有效作為</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szCs w:val="24"/>
              </w:rPr>
              <w:t>承包商依工程特性建立特殊優良機制</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szCs w:val="24"/>
              </w:rPr>
              <w:t>承包商「施工進度」、「重大職業災害紀錄」、「是否曾因違反勞工安全衛生或勞動檢查法規經處分在案」、「是否曾獲得安全衛生優良公共工程者」相關條件符合規定</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szCs w:val="24"/>
              </w:rPr>
              <w:t>承包商於參與評選當年度</w:t>
            </w:r>
            <w:r>
              <w:rPr>
                <w:rFonts w:ascii="標楷體" w:eastAsia="標楷體" w:hAnsi="標楷體"/>
                <w:szCs w:val="24"/>
              </w:rPr>
              <w:t>1</w:t>
            </w:r>
            <w:r>
              <w:rPr>
                <w:rFonts w:ascii="標楷體" w:eastAsia="標楷體" w:hAnsi="標楷體"/>
                <w:szCs w:val="24"/>
              </w:rPr>
              <w:t>月底前</w:t>
            </w:r>
            <w:r>
              <w:rPr>
                <w:rFonts w:ascii="標楷體" w:eastAsia="標楷體" w:hAnsi="標楷體"/>
                <w:szCs w:val="24"/>
              </w:rPr>
              <w:t>(</w:t>
            </w:r>
            <w:r>
              <w:rPr>
                <w:rFonts w:ascii="標楷體" w:eastAsia="標楷體" w:hAnsi="標楷體"/>
                <w:szCs w:val="24"/>
              </w:rPr>
              <w:t>或勞動部評審前</w:t>
            </w:r>
            <w:r>
              <w:rPr>
                <w:rFonts w:ascii="標楷體" w:eastAsia="標楷體" w:hAnsi="標楷體"/>
                <w:szCs w:val="24"/>
              </w:rPr>
              <w:t>4</w:t>
            </w:r>
            <w:r>
              <w:rPr>
                <w:rFonts w:ascii="標楷體" w:eastAsia="標楷體" w:hAnsi="標楷體"/>
                <w:szCs w:val="24"/>
              </w:rPr>
              <w:t>個月</w:t>
            </w:r>
            <w:r>
              <w:rPr>
                <w:rFonts w:ascii="標楷體" w:eastAsia="標楷體" w:hAnsi="標楷體"/>
                <w:szCs w:val="24"/>
              </w:rPr>
              <w:t>)</w:t>
            </w:r>
            <w:r>
              <w:rPr>
                <w:rFonts w:ascii="標楷體" w:eastAsia="標楷體" w:hAnsi="標楷體"/>
                <w:szCs w:val="24"/>
              </w:rPr>
              <w:t>，提送推薦表與優良事蹟及顯著效益之具體資料</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c>
          <w:tcPr>
            <w:tcW w:w="703"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szCs w:val="24"/>
              </w:rPr>
              <w:t>主辦機關、監造單位及承包商是否針對參與人員訂定相關獎勵規定。</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r w:rsidR="00000000">
        <w:tc>
          <w:tcPr>
            <w:tcW w:w="703" w:type="dxa"/>
            <w:tcBorders>
              <w:top w:val="single" w:sz="4" w:space="0" w:color="00000A"/>
              <w:left w:val="single" w:sz="4" w:space="0" w:color="00000A"/>
              <w:bottom w:val="single" w:sz="4" w:space="0" w:color="00000A"/>
              <w:right w:val="single" w:sz="4" w:space="0" w:color="00000A"/>
            </w:tcBorders>
            <w:shd w:val="clear" w:color="auto" w:fill="auto"/>
          </w:tcPr>
          <w:p w:rsidR="00000000" w:rsidRDefault="00B758FF">
            <w:pPr>
              <w:spacing w:line="400" w:lineRule="exact"/>
            </w:pPr>
            <w:r>
              <w:rPr>
                <w:rFonts w:ascii="標楷體" w:eastAsia="標楷體" w:hAnsi="標楷體"/>
                <w:sz w:val="30"/>
                <w:szCs w:val="30"/>
              </w:rPr>
              <w:t>預評作業</w:t>
            </w:r>
          </w:p>
        </w:tc>
        <w:tc>
          <w:tcPr>
            <w:tcW w:w="4962"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pPr>
            <w:r>
              <w:rPr>
                <w:rFonts w:ascii="標楷體" w:eastAsia="標楷體" w:hAnsi="標楷體"/>
              </w:rPr>
              <w:t>交通部辦理初評前，工程處勞安分組辦理自評，高公局勞安小組辦理預評。</w:t>
            </w:r>
          </w:p>
        </w:tc>
        <w:tc>
          <w:tcPr>
            <w:tcW w:w="78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781"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c>
          <w:tcPr>
            <w:tcW w:w="21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000000" w:rsidRDefault="00B758FF">
            <w:pPr>
              <w:spacing w:line="280" w:lineRule="exact"/>
              <w:jc w:val="both"/>
              <w:rPr>
                <w:rFonts w:ascii="標楷體" w:eastAsia="標楷體" w:hAnsi="標楷體"/>
                <w:szCs w:val="24"/>
              </w:rPr>
            </w:pPr>
          </w:p>
        </w:tc>
      </w:tr>
    </w:tbl>
    <w:p w:rsidR="00000000" w:rsidRDefault="00B758FF">
      <w:r>
        <w:rPr>
          <w:rFonts w:ascii="標楷體" w:eastAsia="標楷體" w:hAnsi="標楷體"/>
          <w:sz w:val="30"/>
          <w:szCs w:val="30"/>
        </w:rPr>
        <w:t xml:space="preserve">    </w:t>
      </w:r>
      <w:r>
        <w:rPr>
          <w:rFonts w:ascii="標楷體" w:eastAsia="標楷體" w:hAnsi="標楷體"/>
          <w:sz w:val="30"/>
          <w:szCs w:val="30"/>
        </w:rPr>
        <w:t>填表人：</w:t>
      </w:r>
      <w:r>
        <w:rPr>
          <w:rFonts w:ascii="標楷體" w:eastAsia="標楷體" w:hAnsi="標楷體"/>
          <w:sz w:val="30"/>
          <w:szCs w:val="30"/>
        </w:rPr>
        <w:t xml:space="preserve">              </w:t>
      </w:r>
      <w:r>
        <w:rPr>
          <w:rFonts w:ascii="標楷體" w:eastAsia="標楷體" w:hAnsi="標楷體"/>
          <w:sz w:val="30"/>
          <w:szCs w:val="30"/>
        </w:rPr>
        <w:t xml:space="preserve">           </w:t>
      </w:r>
      <w:r>
        <w:rPr>
          <w:rFonts w:ascii="標楷體" w:eastAsia="標楷體" w:hAnsi="標楷體"/>
          <w:sz w:val="30"/>
          <w:szCs w:val="30"/>
        </w:rPr>
        <w:t>主辦單位：</w:t>
      </w:r>
    </w:p>
    <w:p w:rsidR="00000000" w:rsidRDefault="00B758FF">
      <w:pPr>
        <w:jc w:val="center"/>
        <w:rPr>
          <w:rFonts w:ascii="標楷體" w:eastAsia="標楷體" w:hAnsi="標楷體"/>
          <w:sz w:val="30"/>
          <w:szCs w:val="30"/>
        </w:rPr>
      </w:pPr>
    </w:p>
    <w:p w:rsidR="00B758FF" w:rsidRDefault="00B758FF">
      <w:pPr>
        <w:jc w:val="center"/>
      </w:pPr>
    </w:p>
    <w:sectPr w:rsidR="00B758FF">
      <w:pgSz w:w="11906" w:h="16838"/>
      <w:pgMar w:top="1134" w:right="1274" w:bottom="1135" w:left="1276" w:header="720" w:footer="720" w:gutter="0"/>
      <w:cols w:space="720"/>
      <w:docGrid w:type="lines"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087" w:usb1="288F4000" w:usb2="00000016" w:usb3="00000000" w:csb0="00100009" w:csb1="00000000"/>
  </w:font>
  <w:font w:name="Mangal">
    <w:panose1 w:val="02040503050203030202"/>
    <w:charset w:val="00"/>
    <w:family w:val="roman"/>
    <w:pitch w:val="variable"/>
    <w:sig w:usb0="00008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48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2183"/>
    <w:rsid w:val="007B3E82"/>
    <w:rsid w:val="00AC2183"/>
    <w:rsid w:val="00B758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spacing w:line="360" w:lineRule="atLeast"/>
      <w:textAlignment w:val="baseline"/>
    </w:pPr>
    <w:rPr>
      <w:rFonts w:eastAsia="細明體"/>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
    <w:name w:val="Default Paragraph Font"/>
  </w:style>
  <w:style w:type="character" w:customStyle="1" w:styleId="a3">
    <w:name w:val="頁首 字元"/>
    <w:rPr>
      <w:sz w:val="20"/>
      <w:szCs w:val="20"/>
    </w:rPr>
  </w:style>
  <w:style w:type="character" w:customStyle="1" w:styleId="a4">
    <w:name w:val="頁尾 字元"/>
    <w:rPr>
      <w:sz w:val="20"/>
      <w:szCs w:val="20"/>
    </w:rPr>
  </w:style>
  <w:style w:type="character" w:customStyle="1" w:styleId="a5">
    <w:name w:val="註解方塊文字 字元"/>
    <w:rPr>
      <w:rFonts w:ascii="Calibri Light" w:eastAsia="新細明體" w:hAnsi="Calibri Light" w:cs="Tahoma"/>
      <w:kern w:val="0"/>
      <w:sz w:val="18"/>
      <w:szCs w:val="18"/>
    </w:rPr>
  </w:style>
  <w:style w:type="paragraph" w:styleId="a6">
    <w:name w:val="Title"/>
    <w:basedOn w:val="a"/>
    <w:next w:val="a7"/>
    <w:qFormat/>
    <w:pPr>
      <w:keepNext/>
      <w:spacing w:before="240" w:after="120"/>
    </w:pPr>
    <w:rPr>
      <w:rFonts w:ascii="Liberation Sans" w:eastAsia="微軟正黑體" w:hAnsi="Liberation Sans" w:cs="Mangal"/>
      <w:sz w:val="28"/>
      <w:szCs w:val="28"/>
    </w:rPr>
  </w:style>
  <w:style w:type="paragraph" w:styleId="a7">
    <w:name w:val="Body Text"/>
    <w:basedOn w:val="a"/>
    <w:pPr>
      <w:spacing w:after="140" w:line="288" w:lineRule="auto"/>
    </w:pPr>
  </w:style>
  <w:style w:type="paragraph" w:styleId="a8">
    <w:name w:val="List"/>
    <w:basedOn w:val="a7"/>
    <w:rPr>
      <w:rFonts w:cs="Mangal"/>
    </w:rPr>
  </w:style>
  <w:style w:type="paragraph" w:styleId="a9">
    <w:name w:val="caption"/>
    <w:basedOn w:val="a"/>
    <w:qFormat/>
    <w:pPr>
      <w:suppressLineNumbers/>
      <w:spacing w:before="120" w:after="120"/>
    </w:pPr>
    <w:rPr>
      <w:rFonts w:cs="Mangal"/>
      <w:i/>
      <w:iCs/>
      <w:szCs w:val="24"/>
    </w:rPr>
  </w:style>
  <w:style w:type="paragraph" w:customStyle="1" w:styleId="aa">
    <w:name w:val="索引"/>
    <w:basedOn w:val="a"/>
    <w:pPr>
      <w:suppressLineNumbers/>
    </w:pPr>
    <w:rPr>
      <w:rFonts w:cs="Mangal"/>
    </w:rPr>
  </w:style>
  <w:style w:type="paragraph" w:styleId="ab">
    <w:name w:val="header"/>
    <w:basedOn w:val="a"/>
    <w:pPr>
      <w:tabs>
        <w:tab w:val="center" w:pos="4153"/>
        <w:tab w:val="right" w:pos="8306"/>
      </w:tabs>
      <w:snapToGrid w:val="0"/>
    </w:pPr>
    <w:rPr>
      <w:sz w:val="20"/>
    </w:rPr>
  </w:style>
  <w:style w:type="paragraph" w:styleId="ac">
    <w:name w:val="footer"/>
    <w:basedOn w:val="a"/>
    <w:pPr>
      <w:tabs>
        <w:tab w:val="center" w:pos="4153"/>
        <w:tab w:val="right" w:pos="8306"/>
      </w:tabs>
      <w:snapToGrid w:val="0"/>
    </w:pPr>
    <w:rPr>
      <w:sz w:val="20"/>
    </w:rPr>
  </w:style>
  <w:style w:type="paragraph" w:customStyle="1" w:styleId="BalloonText">
    <w:name w:val="Balloon Text"/>
    <w:basedOn w:val="a"/>
    <w:pPr>
      <w:spacing w:line="240" w:lineRule="auto"/>
    </w:pPr>
    <w:rPr>
      <w:rFonts w:ascii="Calibri Light" w:eastAsia="新細明體" w:hAnsi="Calibri Light" w:cs="Tahoma"/>
      <w:sz w:val="18"/>
      <w:szCs w:val="18"/>
    </w:rPr>
  </w:style>
  <w:style w:type="paragraph" w:customStyle="1" w:styleId="ad">
    <w:name w:val="框架內容"/>
    <w:basedOn w:val="a"/>
  </w:style>
  <w:style w:type="paragraph" w:customStyle="1" w:styleId="ae">
    <w:name w:val="表格內容"/>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193</Words>
  <Characters>1106</Characters>
  <Application>Microsoft Office Word</Application>
  <DocSecurity>0</DocSecurity>
  <Lines>9</Lines>
  <Paragraphs>2</Paragraphs>
  <ScaleCrop>false</ScaleCrop>
  <Company/>
  <LinksUpToDate>false</LinksUpToDate>
  <CharactersWithSpaces>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 中辦處 鄭嘉仁</dc:creator>
  <cp:lastModifiedBy>user</cp:lastModifiedBy>
  <cp:revision>2</cp:revision>
  <cp:lastPrinted>2016-06-20T23:49:00Z</cp:lastPrinted>
  <dcterms:created xsi:type="dcterms:W3CDTF">2017-02-08T01:07:00Z</dcterms:created>
  <dcterms:modified xsi:type="dcterms:W3CDTF">2017-02-08T01:07:00Z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